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74" w:rsidRPr="00966B74" w:rsidRDefault="00966B74" w:rsidP="00375CEF">
      <w:pPr>
        <w:pStyle w:val="BasicParagraph"/>
        <w:suppressAutoHyphens/>
        <w:jc w:val="center"/>
        <w:rPr>
          <w:rFonts w:asciiTheme="minorHAnsi" w:hAnsiTheme="minorHAnsi" w:cstheme="minorHAnsi"/>
          <w:b/>
          <w:bCs/>
          <w:szCs w:val="28"/>
        </w:rPr>
      </w:pPr>
      <w:bookmarkStart w:id="0" w:name="_GoBack"/>
      <w:bookmarkEnd w:id="0"/>
      <w:r w:rsidRPr="00966B74">
        <w:rPr>
          <w:rFonts w:asciiTheme="minorHAnsi" w:hAnsiTheme="minorHAnsi" w:cstheme="minorHAnsi"/>
          <w:b/>
          <w:bCs/>
          <w:szCs w:val="28"/>
        </w:rPr>
        <w:t>Collaborative Practice Agreement</w:t>
      </w:r>
      <w:r w:rsidR="00B0070C">
        <w:rPr>
          <w:rFonts w:asciiTheme="minorHAnsi" w:hAnsiTheme="minorHAnsi" w:cstheme="minorHAnsi"/>
          <w:b/>
          <w:bCs/>
          <w:szCs w:val="28"/>
        </w:rPr>
        <w:t xml:space="preserve">: </w:t>
      </w:r>
      <w:r w:rsidR="00375CEF">
        <w:rPr>
          <w:rFonts w:asciiTheme="minorHAnsi" w:hAnsiTheme="minorHAnsi" w:cstheme="minorHAnsi"/>
          <w:b/>
          <w:bCs/>
          <w:szCs w:val="28"/>
        </w:rPr>
        <w:br/>
      </w:r>
      <w:r w:rsidR="008A0E42">
        <w:rPr>
          <w:rFonts w:asciiTheme="minorHAnsi" w:hAnsiTheme="minorHAnsi" w:cstheme="minorHAnsi"/>
          <w:b/>
          <w:bCs/>
          <w:szCs w:val="28"/>
        </w:rPr>
        <w:t>Therapeutic Interchange of Short-Acting Beta-Agonist (SABA)</w:t>
      </w:r>
    </w:p>
    <w:p w:rsidR="00966B74" w:rsidRPr="00966B74" w:rsidRDefault="00966B74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966B74" w:rsidRPr="00966B74" w:rsidRDefault="00966B74" w:rsidP="00966B74">
      <w:pPr>
        <w:pStyle w:val="BasicParagraph"/>
        <w:suppressAutoHyphens/>
        <w:rPr>
          <w:rFonts w:asciiTheme="minorHAnsi" w:hAnsiTheme="minorHAnsi" w:cstheme="minorHAnsi"/>
          <w:sz w:val="22"/>
        </w:rPr>
      </w:pPr>
      <w:r w:rsidRPr="00966B74">
        <w:rPr>
          <w:rFonts w:asciiTheme="minorHAnsi" w:hAnsiTheme="minorHAnsi" w:cstheme="minorHAnsi"/>
          <w:b/>
          <w:bCs/>
          <w:sz w:val="22"/>
        </w:rPr>
        <w:t>Introduction:</w:t>
      </w:r>
    </w:p>
    <w:p w:rsidR="002F2924" w:rsidRPr="002E0EC9" w:rsidRDefault="00A23DDE" w:rsidP="00A23DDE">
      <w:pPr>
        <w:pStyle w:val="BodyText2"/>
        <w:autoSpaceDE/>
        <w:autoSpaceDN/>
        <w:adjustRightInd/>
        <w:spacing w:after="120"/>
        <w:ind w:left="36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Asthma is a complex medical condition which </w:t>
      </w:r>
      <w:r w:rsidR="00705F16">
        <w:rPr>
          <w:rFonts w:asciiTheme="minorHAnsi" w:hAnsiTheme="minorHAnsi" w:cstheme="minorHAnsi"/>
        </w:rPr>
        <w:t>is primarily controlled with prescription medications. Frequently, patient access to critical medications involved in the</w:t>
      </w:r>
      <w:r w:rsidR="000C5FB0">
        <w:rPr>
          <w:rFonts w:asciiTheme="minorHAnsi" w:hAnsiTheme="minorHAnsi" w:cstheme="minorHAnsi"/>
        </w:rPr>
        <w:t xml:space="preserve"> treatment </w:t>
      </w:r>
      <w:r w:rsidR="00705F16">
        <w:rPr>
          <w:rFonts w:asciiTheme="minorHAnsi" w:hAnsiTheme="minorHAnsi" w:cstheme="minorHAnsi"/>
        </w:rPr>
        <w:t xml:space="preserve">of asthma can be delayed due to insurance coverage issues. To prevent delays in providing the patient with the </w:t>
      </w:r>
      <w:r w:rsidR="006C00C6">
        <w:rPr>
          <w:rFonts w:asciiTheme="minorHAnsi" w:hAnsiTheme="minorHAnsi" w:cstheme="minorHAnsi"/>
        </w:rPr>
        <w:t xml:space="preserve">necessary </w:t>
      </w:r>
      <w:r w:rsidR="00705F16">
        <w:rPr>
          <w:rFonts w:asciiTheme="minorHAnsi" w:hAnsiTheme="minorHAnsi" w:cstheme="minorHAnsi"/>
        </w:rPr>
        <w:t xml:space="preserve">medication </w:t>
      </w:r>
      <w:r w:rsidR="006C00C6">
        <w:rPr>
          <w:rFonts w:asciiTheme="minorHAnsi" w:hAnsiTheme="minorHAnsi" w:cstheme="minorHAnsi"/>
        </w:rPr>
        <w:t xml:space="preserve">which not only </w:t>
      </w:r>
      <w:r w:rsidR="00705F16">
        <w:rPr>
          <w:rFonts w:asciiTheme="minorHAnsi" w:hAnsiTheme="minorHAnsi" w:cstheme="minorHAnsi"/>
        </w:rPr>
        <w:t>control</w:t>
      </w:r>
      <w:r w:rsidR="006C00C6">
        <w:rPr>
          <w:rFonts w:asciiTheme="minorHAnsi" w:hAnsiTheme="minorHAnsi" w:cstheme="minorHAnsi"/>
        </w:rPr>
        <w:t>s</w:t>
      </w:r>
      <w:r w:rsidR="00705F16">
        <w:rPr>
          <w:rFonts w:asciiTheme="minorHAnsi" w:hAnsiTheme="minorHAnsi" w:cstheme="minorHAnsi"/>
        </w:rPr>
        <w:t xml:space="preserve"> their asthma,</w:t>
      </w:r>
      <w:r w:rsidR="006C00C6">
        <w:rPr>
          <w:rFonts w:asciiTheme="minorHAnsi" w:hAnsiTheme="minorHAnsi" w:cstheme="minorHAnsi"/>
        </w:rPr>
        <w:t xml:space="preserve"> but also prevent</w:t>
      </w:r>
      <w:r w:rsidR="00272A04">
        <w:rPr>
          <w:rFonts w:asciiTheme="minorHAnsi" w:hAnsiTheme="minorHAnsi" w:cstheme="minorHAnsi"/>
        </w:rPr>
        <w:t>s</w:t>
      </w:r>
      <w:r w:rsidR="006C00C6">
        <w:rPr>
          <w:rFonts w:asciiTheme="minorHAnsi" w:hAnsiTheme="minorHAnsi" w:cstheme="minorHAnsi"/>
        </w:rPr>
        <w:t xml:space="preserve"> unnecessary health care utilization, </w:t>
      </w:r>
      <w:r w:rsidR="00705F16" w:rsidRPr="00816534">
        <w:rPr>
          <w:rFonts w:asciiTheme="minorHAnsi" w:hAnsiTheme="minorHAnsi" w:cstheme="minorHAnsi"/>
          <w:b/>
        </w:rPr>
        <w:t>[Insert Name of Pharmacy]</w:t>
      </w:r>
      <w:r w:rsidR="00705F16">
        <w:rPr>
          <w:rFonts w:asciiTheme="minorHAnsi" w:hAnsiTheme="minorHAnsi" w:cstheme="minorHAnsi"/>
          <w:b/>
        </w:rPr>
        <w:t xml:space="preserve"> </w:t>
      </w:r>
      <w:r w:rsidR="00705F16">
        <w:rPr>
          <w:rFonts w:asciiTheme="minorHAnsi" w:hAnsiTheme="minorHAnsi" w:cstheme="minorHAnsi"/>
        </w:rPr>
        <w:t xml:space="preserve">is prepared to work collaboratively with physicians </w:t>
      </w:r>
      <w:r w:rsidR="006C00C6">
        <w:rPr>
          <w:rFonts w:asciiTheme="minorHAnsi" w:hAnsiTheme="minorHAnsi" w:cstheme="minorHAnsi"/>
        </w:rPr>
        <w:t xml:space="preserve">by entering into this CPA </w:t>
      </w:r>
      <w:r w:rsidR="00705F16">
        <w:rPr>
          <w:rFonts w:asciiTheme="minorHAnsi" w:hAnsiTheme="minorHAnsi" w:cstheme="minorHAnsi"/>
        </w:rPr>
        <w:t>to facilitate a</w:t>
      </w:r>
      <w:r w:rsidR="00272A04">
        <w:rPr>
          <w:rFonts w:asciiTheme="minorHAnsi" w:hAnsiTheme="minorHAnsi" w:cstheme="minorHAnsi"/>
        </w:rPr>
        <w:t xml:space="preserve"> rational </w:t>
      </w:r>
      <w:r w:rsidR="00705F16">
        <w:rPr>
          <w:rFonts w:asciiTheme="minorHAnsi" w:hAnsiTheme="minorHAnsi" w:cstheme="minorHAnsi"/>
        </w:rPr>
        <w:t>therapeutic interchange which substitutes one brand of short-acting beta-agonist (SABA) for another</w:t>
      </w:r>
      <w:r w:rsidR="006C00C6">
        <w:rPr>
          <w:rFonts w:asciiTheme="minorHAnsi" w:hAnsiTheme="minorHAnsi" w:cstheme="minorHAnsi"/>
        </w:rPr>
        <w:t xml:space="preserve">. </w:t>
      </w:r>
    </w:p>
    <w:p w:rsidR="00DC2013" w:rsidRDefault="00DC2013" w:rsidP="00DC2013">
      <w:pPr>
        <w:pStyle w:val="BodyText2"/>
        <w:autoSpaceDE/>
        <w:autoSpaceDN/>
        <w:adjustRightInd/>
        <w:spacing w:after="120"/>
        <w:ind w:right="0"/>
        <w:rPr>
          <w:rFonts w:asciiTheme="minorHAnsi" w:hAnsiTheme="minorHAnsi" w:cstheme="minorHAnsi"/>
          <w:b/>
          <w:bCs/>
        </w:rPr>
      </w:pPr>
    </w:p>
    <w:p w:rsidR="0079019E" w:rsidRDefault="0079019E" w:rsidP="00DC2013">
      <w:pPr>
        <w:pStyle w:val="BodyText2"/>
        <w:autoSpaceDE/>
        <w:autoSpaceDN/>
        <w:adjustRightInd/>
        <w:spacing w:after="120"/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Purpose</w:t>
      </w:r>
    </w:p>
    <w:p w:rsidR="007F377C" w:rsidRPr="00DB3BDD" w:rsidRDefault="007F377C" w:rsidP="00A23DDE">
      <w:pPr>
        <w:pStyle w:val="BodyText2"/>
        <w:autoSpaceDE/>
        <w:autoSpaceDN/>
        <w:adjustRightInd/>
        <w:spacing w:after="120"/>
        <w:ind w:left="360" w:right="0"/>
        <w:rPr>
          <w:rFonts w:asciiTheme="minorHAnsi" w:hAnsiTheme="minorHAnsi" w:cstheme="minorHAnsi"/>
          <w:shd w:val="clear" w:color="auto" w:fill="FFFFAA"/>
        </w:rPr>
      </w:pPr>
      <w:r w:rsidRPr="00DB3BDD">
        <w:rPr>
          <w:rFonts w:asciiTheme="minorHAnsi" w:hAnsiTheme="minorHAnsi" w:cstheme="minorHAnsi"/>
        </w:rPr>
        <w:t xml:space="preserve">Wisconsin state law allows pharmacists to practice under a Collaborative Practice Agreement with individual physicians (Statute 450.033 </w:t>
      </w:r>
      <w:r w:rsidRPr="00DB3BDD">
        <w:rPr>
          <w:rStyle w:val="qstitlesection"/>
          <w:rFonts w:asciiTheme="minorHAnsi" w:hAnsiTheme="minorHAnsi" w:cstheme="minorHAnsi"/>
          <w:bCs/>
          <w:i/>
          <w:color w:val="000000"/>
        </w:rPr>
        <w:t>Services delegated by physician: A pharmacist may perform any patient care service delegated to the pharmacist by a physician, as defined in s. 448.01(5</w:t>
      </w:r>
      <w:r w:rsidR="00816534">
        <w:rPr>
          <w:rStyle w:val="qstitlesection"/>
          <w:rFonts w:asciiTheme="minorHAnsi" w:hAnsiTheme="minorHAnsi" w:cstheme="minorHAnsi"/>
          <w:bCs/>
          <w:i/>
          <w:color w:val="000000"/>
        </w:rPr>
        <w:t>).</w:t>
      </w:r>
      <w:r w:rsidRPr="00DB3BDD">
        <w:rPr>
          <w:rFonts w:asciiTheme="minorHAnsi" w:hAnsiTheme="minorHAnsi" w:cstheme="minorHAnsi"/>
          <w:shd w:val="clear" w:color="auto" w:fill="FFFFAA"/>
        </w:rPr>
        <w:t xml:space="preserve"> </w:t>
      </w:r>
    </w:p>
    <w:p w:rsidR="007F377C" w:rsidRPr="00DB3BDD" w:rsidRDefault="007F377C" w:rsidP="00A23DDE">
      <w:pPr>
        <w:pStyle w:val="BodyText2"/>
        <w:autoSpaceDE/>
        <w:autoSpaceDN/>
        <w:adjustRightInd/>
        <w:spacing w:after="120"/>
        <w:ind w:left="720" w:right="0"/>
        <w:rPr>
          <w:rFonts w:asciiTheme="minorHAnsi" w:hAnsiTheme="minorHAnsi" w:cstheme="minorHAnsi"/>
        </w:rPr>
      </w:pPr>
      <w:r w:rsidRPr="00DB3BDD">
        <w:rPr>
          <w:rFonts w:asciiTheme="minorHAnsi" w:hAnsiTheme="minorHAnsi" w:cstheme="minorHAnsi"/>
        </w:rPr>
        <w:t>448.01</w:t>
      </w:r>
      <w:r w:rsidRPr="00DB3BDD">
        <w:rPr>
          <w:rFonts w:asciiTheme="minorHAnsi" w:hAnsiTheme="minorHAnsi" w:cstheme="minorHAnsi"/>
        </w:rPr>
        <w:t> </w:t>
      </w:r>
      <w:r w:rsidRPr="00DB3BDD">
        <w:rPr>
          <w:rFonts w:asciiTheme="minorHAnsi" w:hAnsiTheme="minorHAnsi" w:cstheme="minorHAnsi"/>
        </w:rPr>
        <w:t xml:space="preserve"> Definitions. In this chapter:  </w:t>
      </w:r>
      <w:r w:rsidRPr="00DB3BDD">
        <w:rPr>
          <w:rFonts w:asciiTheme="minorHAnsi" w:hAnsiTheme="minorHAnsi" w:cstheme="minorHAnsi"/>
          <w:bCs/>
        </w:rPr>
        <w:t>(5)</w:t>
      </w:r>
      <w:r w:rsidRPr="00DB3BDD">
        <w:rPr>
          <w:rFonts w:asciiTheme="minorHAnsi" w:hAnsiTheme="minorHAnsi" w:cstheme="minorHAnsi"/>
        </w:rPr>
        <w:t> </w:t>
      </w:r>
      <w:r w:rsidRPr="00DB3BDD">
        <w:rPr>
          <w:rFonts w:asciiTheme="minorHAnsi" w:hAnsiTheme="minorHAnsi" w:cstheme="minorHAnsi"/>
        </w:rPr>
        <w:t>”Physician” means an individual possessing the degree of doctor of medicine or doctor of osteopathy or an equivalent degree as determined by the medical examining board, and holding a license granted by the medical examining board.</w:t>
      </w:r>
    </w:p>
    <w:p w:rsidR="007F377C" w:rsidRPr="001D4EE7" w:rsidRDefault="007F377C" w:rsidP="00A23DDE">
      <w:pPr>
        <w:tabs>
          <w:tab w:val="left" w:pos="720"/>
        </w:tabs>
        <w:ind w:left="360"/>
      </w:pPr>
      <w:r w:rsidRPr="001D4EE7">
        <w:t>It is the intent of this document to authorize the pharmacist</w:t>
      </w:r>
      <w:r w:rsidR="00DB3BDD">
        <w:t xml:space="preserve">s employed by </w:t>
      </w:r>
      <w:r w:rsidR="00DB3BDD" w:rsidRPr="00816534">
        <w:rPr>
          <w:b/>
        </w:rPr>
        <w:t>[Insert Name of Pharmacy]</w:t>
      </w:r>
      <w:r w:rsidRPr="001D4EE7">
        <w:t xml:space="preserve"> to work in a collaborative fashion with and under the direct supervision of the</w:t>
      </w:r>
      <w:r w:rsidR="00DB3BDD">
        <w:t xml:space="preserve"> physician(s) listed below.  This</w:t>
      </w:r>
      <w:r w:rsidRPr="001D4EE7">
        <w:t xml:space="preserve"> document </w:t>
      </w:r>
      <w:r w:rsidR="007406A0">
        <w:t xml:space="preserve">establishes a framework and </w:t>
      </w:r>
      <w:r w:rsidRPr="001D4EE7">
        <w:t xml:space="preserve">guidelines for collaboration between the physician and pharmacist.  </w:t>
      </w:r>
    </w:p>
    <w:p w:rsidR="00085CF9" w:rsidRDefault="00085CF9" w:rsidP="0079019E">
      <w:pPr>
        <w:pStyle w:val="BodyText2"/>
        <w:autoSpaceDE/>
        <w:autoSpaceDN/>
        <w:adjustRightInd/>
        <w:spacing w:after="120"/>
        <w:ind w:left="360" w:right="0"/>
        <w:rPr>
          <w:rFonts w:asciiTheme="minorHAnsi" w:hAnsiTheme="minorHAnsi" w:cstheme="minorHAnsi"/>
          <w:b/>
          <w:bCs/>
        </w:rPr>
      </w:pPr>
    </w:p>
    <w:p w:rsidR="0079019E" w:rsidRDefault="0079019E" w:rsidP="00DC2013">
      <w:pPr>
        <w:pStyle w:val="BodyText2"/>
        <w:autoSpaceDE/>
        <w:autoSpaceDN/>
        <w:adjustRightInd/>
        <w:spacing w:after="120"/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Goals</w:t>
      </w:r>
    </w:p>
    <w:p w:rsidR="007F377C" w:rsidRPr="001D4EE7" w:rsidRDefault="007F377C" w:rsidP="00A23DDE">
      <w:pPr>
        <w:ind w:left="360"/>
      </w:pPr>
      <w:r w:rsidRPr="001D4EE7">
        <w:t xml:space="preserve">The goals of this agreement are to: </w:t>
      </w:r>
    </w:p>
    <w:p w:rsidR="00887469" w:rsidRDefault="00887469" w:rsidP="007F377C">
      <w:pPr>
        <w:numPr>
          <w:ilvl w:val="0"/>
          <w:numId w:val="1"/>
        </w:numPr>
        <w:spacing w:after="0" w:line="240" w:lineRule="auto"/>
      </w:pPr>
      <w:r>
        <w:t xml:space="preserve">Allow pharmacists to conduct a </w:t>
      </w:r>
      <w:r w:rsidR="00272A04">
        <w:t xml:space="preserve">rational </w:t>
      </w:r>
      <w:r>
        <w:t>therapeutic interchange of a SABA.</w:t>
      </w:r>
    </w:p>
    <w:p w:rsidR="00887469" w:rsidRDefault="00887469" w:rsidP="007F377C">
      <w:pPr>
        <w:numPr>
          <w:ilvl w:val="0"/>
          <w:numId w:val="1"/>
        </w:numPr>
        <w:spacing w:after="0" w:line="240" w:lineRule="auto"/>
      </w:pPr>
      <w:r>
        <w:t xml:space="preserve">Improve access to care by supplying the </w:t>
      </w:r>
      <w:r w:rsidR="006C00C6">
        <w:t>patient with the</w:t>
      </w:r>
      <w:r w:rsidR="002E03AB">
        <w:t>ir</w:t>
      </w:r>
      <w:r w:rsidR="006C00C6">
        <w:t xml:space="preserve"> </w:t>
      </w:r>
      <w:r>
        <w:t>SABA medication in a timely manner.</w:t>
      </w:r>
    </w:p>
    <w:p w:rsidR="00DB3BDD" w:rsidRDefault="00DB3BDD" w:rsidP="007F377C">
      <w:pPr>
        <w:numPr>
          <w:ilvl w:val="0"/>
          <w:numId w:val="1"/>
        </w:numPr>
        <w:spacing w:after="0" w:line="240" w:lineRule="auto"/>
      </w:pPr>
      <w:r>
        <w:t>Enhance patient</w:t>
      </w:r>
      <w:r w:rsidR="007406A0">
        <w:t>/caregiver</w:t>
      </w:r>
      <w:r>
        <w:t xml:space="preserve"> understanding of their prescribed medication regimen. </w:t>
      </w:r>
    </w:p>
    <w:p w:rsidR="007F377C" w:rsidRPr="001D4EE7" w:rsidRDefault="0093300A" w:rsidP="007F377C">
      <w:pPr>
        <w:numPr>
          <w:ilvl w:val="0"/>
          <w:numId w:val="1"/>
        </w:numPr>
        <w:spacing w:after="0" w:line="240" w:lineRule="auto"/>
      </w:pPr>
      <w:r>
        <w:t xml:space="preserve">Increase collaboration between </w:t>
      </w:r>
      <w:r w:rsidRPr="00816534">
        <w:rPr>
          <w:b/>
        </w:rPr>
        <w:t>[Insert Name of Pharmacy]</w:t>
      </w:r>
      <w:r>
        <w:t xml:space="preserve"> and the physicians named below.</w:t>
      </w:r>
    </w:p>
    <w:p w:rsidR="007F377C" w:rsidRDefault="007F377C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DC2013" w:rsidRDefault="00DC2013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966B74" w:rsidRPr="00966B74" w:rsidRDefault="00966B74" w:rsidP="00966B74">
      <w:pPr>
        <w:pStyle w:val="BasicParagraph"/>
        <w:suppressAutoHyphens/>
        <w:rPr>
          <w:rFonts w:asciiTheme="minorHAnsi" w:hAnsiTheme="minorHAnsi" w:cstheme="minorHAnsi"/>
          <w:sz w:val="22"/>
        </w:rPr>
      </w:pPr>
      <w:r w:rsidRPr="00966B74">
        <w:rPr>
          <w:rFonts w:asciiTheme="minorHAnsi" w:hAnsiTheme="minorHAnsi" w:cstheme="minorHAnsi"/>
          <w:b/>
          <w:bCs/>
          <w:sz w:val="22"/>
        </w:rPr>
        <w:t>Policy:</w:t>
      </w:r>
      <w:r w:rsidRPr="00966B74">
        <w:rPr>
          <w:rFonts w:asciiTheme="minorHAnsi" w:hAnsiTheme="minorHAnsi" w:cstheme="minorHAnsi"/>
          <w:sz w:val="22"/>
        </w:rPr>
        <w:tab/>
      </w:r>
      <w:r w:rsidRPr="00966B74">
        <w:rPr>
          <w:rFonts w:asciiTheme="minorHAnsi" w:hAnsiTheme="minorHAnsi" w:cstheme="minorHAnsi"/>
          <w:sz w:val="22"/>
        </w:rPr>
        <w:tab/>
      </w:r>
    </w:p>
    <w:p w:rsidR="00887469" w:rsidRDefault="00887469" w:rsidP="00887469">
      <w:pPr>
        <w:ind w:left="360" w:right="391"/>
      </w:pPr>
      <w:r w:rsidRPr="006C00C6">
        <w:t>In the event a patient’s insurance formulary does not include the specific brand of inhaled SABA prescribed by the physician or the copay for the prescribed</w:t>
      </w:r>
      <w:r w:rsidR="006C00C6">
        <w:t xml:space="preserve"> brand o</w:t>
      </w:r>
      <w:r w:rsidRPr="006C00C6">
        <w:t>f inhaled SABA is prohibitively expensive and considerable savings to the patient can be realized by a change, this agreement allows the pharmacist to substitute one brand of a SABA for another.  This agreement allows substitution bet</w:t>
      </w:r>
      <w:r w:rsidR="006C00C6">
        <w:t>ween the following brands</w:t>
      </w:r>
      <w:r w:rsidRPr="006C00C6">
        <w:t xml:space="preserve"> of inhaled SABAs: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28"/>
        <w:gridCol w:w="2520"/>
        <w:gridCol w:w="1890"/>
        <w:gridCol w:w="3618"/>
      </w:tblGrid>
      <w:tr w:rsidR="007E7456" w:rsidTr="00171F18">
        <w:tc>
          <w:tcPr>
            <w:tcW w:w="2628" w:type="dxa"/>
          </w:tcPr>
          <w:p w:rsidR="007E7456" w:rsidRPr="006C00C6" w:rsidRDefault="007E7456" w:rsidP="00887469">
            <w:pPr>
              <w:ind w:right="391"/>
              <w:rPr>
                <w:b/>
              </w:rPr>
            </w:pPr>
            <w:r w:rsidRPr="006C00C6">
              <w:rPr>
                <w:b/>
              </w:rPr>
              <w:t>Brand</w:t>
            </w:r>
          </w:p>
        </w:tc>
        <w:tc>
          <w:tcPr>
            <w:tcW w:w="2520" w:type="dxa"/>
          </w:tcPr>
          <w:p w:rsidR="007E7456" w:rsidRPr="006C00C6" w:rsidRDefault="007E7456" w:rsidP="00887469">
            <w:pPr>
              <w:ind w:right="391"/>
              <w:rPr>
                <w:b/>
              </w:rPr>
            </w:pPr>
            <w:r>
              <w:rPr>
                <w:b/>
              </w:rPr>
              <w:t>Active Ingredient</w:t>
            </w:r>
          </w:p>
        </w:tc>
        <w:tc>
          <w:tcPr>
            <w:tcW w:w="1890" w:type="dxa"/>
          </w:tcPr>
          <w:p w:rsidR="007E7456" w:rsidRPr="006C00C6" w:rsidRDefault="007E7456" w:rsidP="00887469">
            <w:pPr>
              <w:ind w:right="391"/>
              <w:rPr>
                <w:b/>
              </w:rPr>
            </w:pPr>
            <w:r w:rsidRPr="006C00C6">
              <w:rPr>
                <w:b/>
              </w:rPr>
              <w:t>Manufacturer</w:t>
            </w:r>
          </w:p>
        </w:tc>
        <w:tc>
          <w:tcPr>
            <w:tcW w:w="3618" w:type="dxa"/>
          </w:tcPr>
          <w:p w:rsidR="007E7456" w:rsidRPr="006C00C6" w:rsidRDefault="007E7456" w:rsidP="00887469">
            <w:pPr>
              <w:ind w:right="391"/>
              <w:rPr>
                <w:b/>
              </w:rPr>
            </w:pPr>
            <w:r w:rsidRPr="006C00C6">
              <w:rPr>
                <w:b/>
              </w:rPr>
              <w:t>Note</w:t>
            </w:r>
          </w:p>
        </w:tc>
      </w:tr>
      <w:tr w:rsidR="007E7456" w:rsidTr="00171F18">
        <w:tc>
          <w:tcPr>
            <w:tcW w:w="2628" w:type="dxa"/>
          </w:tcPr>
          <w:p w:rsidR="007E7456" w:rsidRDefault="007E7456" w:rsidP="00171F18">
            <w:pPr>
              <w:ind w:right="391"/>
            </w:pPr>
            <w:r>
              <w:t>Pro</w:t>
            </w:r>
            <w:r w:rsidRPr="006C00C6">
              <w:t>Air</w:t>
            </w:r>
            <w:r w:rsidR="00171F18">
              <w:t xml:space="preserve"> RespiClick</w:t>
            </w:r>
            <w:r w:rsidR="00171F18">
              <w:sym w:font="Symbol" w:char="F0D2"/>
            </w:r>
          </w:p>
        </w:tc>
        <w:tc>
          <w:tcPr>
            <w:tcW w:w="2520" w:type="dxa"/>
          </w:tcPr>
          <w:p w:rsidR="007E7456" w:rsidRDefault="001F65EC" w:rsidP="00887469">
            <w:pPr>
              <w:ind w:right="391"/>
            </w:pPr>
            <w:r>
              <w:t>Albuterol sulfate</w:t>
            </w:r>
          </w:p>
        </w:tc>
        <w:tc>
          <w:tcPr>
            <w:tcW w:w="1890" w:type="dxa"/>
          </w:tcPr>
          <w:p w:rsidR="007E7456" w:rsidRDefault="007E7456" w:rsidP="00887469">
            <w:pPr>
              <w:ind w:right="391"/>
            </w:pPr>
            <w:r>
              <w:t>Teva</w:t>
            </w:r>
          </w:p>
        </w:tc>
        <w:tc>
          <w:tcPr>
            <w:tcW w:w="3618" w:type="dxa"/>
          </w:tcPr>
          <w:p w:rsidR="007E7456" w:rsidRDefault="007E7456" w:rsidP="00887469">
            <w:pPr>
              <w:ind w:right="391"/>
            </w:pPr>
            <w:r>
              <w:t>Includes dose counter</w:t>
            </w:r>
          </w:p>
        </w:tc>
      </w:tr>
      <w:tr w:rsidR="007E7456" w:rsidTr="00171F18">
        <w:tc>
          <w:tcPr>
            <w:tcW w:w="2628" w:type="dxa"/>
          </w:tcPr>
          <w:p w:rsidR="007E7456" w:rsidRDefault="007E7456" w:rsidP="00887469">
            <w:pPr>
              <w:ind w:right="391"/>
            </w:pPr>
            <w:r w:rsidRPr="006C00C6">
              <w:t>Ventolin</w:t>
            </w:r>
            <w:r>
              <w:sym w:font="Symbol" w:char="F0D2"/>
            </w:r>
            <w:r w:rsidRPr="006C00C6">
              <w:t xml:space="preserve">  HFA</w:t>
            </w:r>
          </w:p>
        </w:tc>
        <w:tc>
          <w:tcPr>
            <w:tcW w:w="2520" w:type="dxa"/>
          </w:tcPr>
          <w:p w:rsidR="007E7456" w:rsidRDefault="001F65EC" w:rsidP="00887469">
            <w:pPr>
              <w:ind w:right="391"/>
            </w:pPr>
            <w:r>
              <w:t>Albuterol sulfate</w:t>
            </w:r>
          </w:p>
        </w:tc>
        <w:tc>
          <w:tcPr>
            <w:tcW w:w="1890" w:type="dxa"/>
          </w:tcPr>
          <w:p w:rsidR="007E7456" w:rsidRDefault="007E7456" w:rsidP="00887469">
            <w:pPr>
              <w:ind w:right="391"/>
            </w:pPr>
            <w:r>
              <w:t>GSK</w:t>
            </w:r>
          </w:p>
        </w:tc>
        <w:tc>
          <w:tcPr>
            <w:tcW w:w="3618" w:type="dxa"/>
          </w:tcPr>
          <w:p w:rsidR="007E7456" w:rsidRDefault="007E7456" w:rsidP="00887469">
            <w:pPr>
              <w:ind w:right="391"/>
            </w:pPr>
            <w:r>
              <w:t>Includes dose counter</w:t>
            </w:r>
          </w:p>
        </w:tc>
      </w:tr>
      <w:tr w:rsidR="007E7456" w:rsidTr="00171F18">
        <w:tc>
          <w:tcPr>
            <w:tcW w:w="2628" w:type="dxa"/>
          </w:tcPr>
          <w:p w:rsidR="007E7456" w:rsidRPr="006C00C6" w:rsidRDefault="007E7456" w:rsidP="00887469">
            <w:pPr>
              <w:ind w:right="391"/>
            </w:pPr>
            <w:r w:rsidRPr="006C00C6">
              <w:t>Proventil</w:t>
            </w:r>
            <w:r>
              <w:sym w:font="Symbol" w:char="F0D2"/>
            </w:r>
            <w:r w:rsidRPr="006C00C6">
              <w:t xml:space="preserve"> HFA </w:t>
            </w:r>
            <w:r>
              <w:t xml:space="preserve"> </w:t>
            </w:r>
          </w:p>
        </w:tc>
        <w:tc>
          <w:tcPr>
            <w:tcW w:w="2520" w:type="dxa"/>
          </w:tcPr>
          <w:p w:rsidR="007E7456" w:rsidRDefault="007E7456" w:rsidP="00887469">
            <w:pPr>
              <w:ind w:right="391"/>
            </w:pPr>
            <w:r>
              <w:t>Albuterol</w:t>
            </w:r>
            <w:r w:rsidR="001F65EC">
              <w:t xml:space="preserve"> sulfate</w:t>
            </w:r>
          </w:p>
        </w:tc>
        <w:tc>
          <w:tcPr>
            <w:tcW w:w="1890" w:type="dxa"/>
          </w:tcPr>
          <w:p w:rsidR="007E7456" w:rsidRDefault="007E7456" w:rsidP="00887469">
            <w:pPr>
              <w:ind w:right="391"/>
            </w:pPr>
            <w:r>
              <w:t>Merck</w:t>
            </w:r>
          </w:p>
        </w:tc>
        <w:tc>
          <w:tcPr>
            <w:tcW w:w="3618" w:type="dxa"/>
          </w:tcPr>
          <w:p w:rsidR="007E7456" w:rsidRDefault="007E7456" w:rsidP="00887469">
            <w:pPr>
              <w:ind w:right="391"/>
            </w:pPr>
            <w:r>
              <w:t>Does not include dose counter</w:t>
            </w:r>
          </w:p>
        </w:tc>
      </w:tr>
      <w:tr w:rsidR="007E7456" w:rsidTr="00171F18">
        <w:tc>
          <w:tcPr>
            <w:tcW w:w="2628" w:type="dxa"/>
          </w:tcPr>
          <w:p w:rsidR="007E7456" w:rsidRPr="006C00C6" w:rsidRDefault="007E7456" w:rsidP="00887469">
            <w:pPr>
              <w:ind w:right="391"/>
            </w:pPr>
            <w:r>
              <w:t>Xopenex HFA</w:t>
            </w:r>
            <w:r>
              <w:sym w:font="Symbol" w:char="F0D2"/>
            </w:r>
          </w:p>
        </w:tc>
        <w:tc>
          <w:tcPr>
            <w:tcW w:w="2520" w:type="dxa"/>
          </w:tcPr>
          <w:p w:rsidR="007E7456" w:rsidRDefault="007E7456" w:rsidP="00887469">
            <w:pPr>
              <w:ind w:right="391"/>
            </w:pPr>
            <w:r>
              <w:t>Levalbuterol tartrate</w:t>
            </w:r>
          </w:p>
        </w:tc>
        <w:tc>
          <w:tcPr>
            <w:tcW w:w="1890" w:type="dxa"/>
          </w:tcPr>
          <w:p w:rsidR="007E7456" w:rsidRDefault="001F65EC" w:rsidP="00887469">
            <w:pPr>
              <w:ind w:right="391"/>
            </w:pPr>
            <w:r>
              <w:t>Sunovion</w:t>
            </w:r>
          </w:p>
        </w:tc>
        <w:tc>
          <w:tcPr>
            <w:tcW w:w="3618" w:type="dxa"/>
          </w:tcPr>
          <w:p w:rsidR="007E7456" w:rsidRDefault="001F65EC" w:rsidP="00887469">
            <w:pPr>
              <w:ind w:right="391"/>
            </w:pPr>
            <w:r>
              <w:t>Does not include dose counter</w:t>
            </w:r>
          </w:p>
        </w:tc>
      </w:tr>
    </w:tbl>
    <w:p w:rsidR="00887469" w:rsidRPr="006C00C6" w:rsidRDefault="00887469" w:rsidP="00887469">
      <w:pPr>
        <w:ind w:left="360" w:right="391"/>
      </w:pPr>
      <w:r w:rsidRPr="006C00C6">
        <w:lastRenderedPageBreak/>
        <w:t>In the event of a substitution:</w:t>
      </w:r>
    </w:p>
    <w:p w:rsidR="00887469" w:rsidRPr="006C00C6" w:rsidRDefault="002E03AB" w:rsidP="00887469">
      <w:pPr>
        <w:pStyle w:val="ListParagraph"/>
        <w:numPr>
          <w:ilvl w:val="0"/>
          <w:numId w:val="5"/>
        </w:numPr>
        <w:ind w:right="391"/>
      </w:pPr>
      <w:r>
        <w:t>Prescribed q</w:t>
      </w:r>
      <w:r w:rsidR="00887469" w:rsidRPr="006C00C6">
        <w:t>uantity of inhalers, directions for use, and number of refills will remain the same as indicated by the physician on the original prescription.</w:t>
      </w:r>
    </w:p>
    <w:p w:rsidR="00FB588C" w:rsidRPr="006C00C6" w:rsidRDefault="00FB588C" w:rsidP="00FB588C">
      <w:pPr>
        <w:pStyle w:val="ListParagraph"/>
        <w:numPr>
          <w:ilvl w:val="0"/>
          <w:numId w:val="5"/>
        </w:numPr>
        <w:ind w:right="391"/>
      </w:pPr>
      <w:r w:rsidRPr="006C00C6">
        <w:t xml:space="preserve">Preference will be given to SABA </w:t>
      </w:r>
      <w:r w:rsidR="00272A04">
        <w:t xml:space="preserve"> metered dose inhaler (MDI) </w:t>
      </w:r>
      <w:r w:rsidRPr="006C00C6">
        <w:t>devices which include a dose counter</w:t>
      </w:r>
      <w:r w:rsidR="00272A04">
        <w:t>, to allow the user to know exactly how many puffs remain in the MDI prior to need to refill.</w:t>
      </w:r>
      <w:r w:rsidR="000C5FB0">
        <w:rPr>
          <w:vertAlign w:val="superscript"/>
        </w:rPr>
        <w:t>1-3</w:t>
      </w:r>
    </w:p>
    <w:p w:rsidR="00887469" w:rsidRPr="006C00C6" w:rsidRDefault="00FB588C" w:rsidP="00FB588C">
      <w:pPr>
        <w:pStyle w:val="ListParagraph"/>
        <w:numPr>
          <w:ilvl w:val="0"/>
          <w:numId w:val="5"/>
        </w:numPr>
        <w:ind w:right="391"/>
      </w:pPr>
      <w:r w:rsidRPr="006C00C6">
        <w:t>T</w:t>
      </w:r>
      <w:r w:rsidR="00887469" w:rsidRPr="006C00C6">
        <w:t xml:space="preserve">he pharmacist implementing the change will notify </w:t>
      </w:r>
      <w:r w:rsidRPr="006C00C6">
        <w:t>the office of the physicians specified below o</w:t>
      </w:r>
      <w:r w:rsidR="00887469" w:rsidRPr="006C00C6">
        <w:t xml:space="preserve">f the change within 24 </w:t>
      </w:r>
      <w:r w:rsidR="002E03AB">
        <w:t xml:space="preserve">business </w:t>
      </w:r>
      <w:r w:rsidR="00887469" w:rsidRPr="006C00C6">
        <w:t xml:space="preserve">hours. </w:t>
      </w:r>
      <w:r w:rsidRPr="006C00C6">
        <w:t>(See Appendix A.)</w:t>
      </w:r>
    </w:p>
    <w:p w:rsidR="002E03AB" w:rsidRDefault="002E03AB" w:rsidP="001F65EC">
      <w:pPr>
        <w:tabs>
          <w:tab w:val="left" w:pos="720"/>
        </w:tabs>
      </w:pPr>
    </w:p>
    <w:p w:rsidR="00CE0EF4" w:rsidRPr="001D4EE7" w:rsidRDefault="00CE0EF4" w:rsidP="001F65EC">
      <w:pPr>
        <w:tabs>
          <w:tab w:val="left" w:pos="720"/>
        </w:tabs>
      </w:pPr>
      <w:r w:rsidRPr="001D4EE7">
        <w:t>This agreement is voluntary and may be terminated</w:t>
      </w:r>
      <w:r>
        <w:t xml:space="preserve"> </w:t>
      </w:r>
      <w:r w:rsidRPr="00CE0EF4">
        <w:rPr>
          <w:u w:val="single"/>
        </w:rPr>
        <w:t>via written request</w:t>
      </w:r>
      <w:r w:rsidRPr="001D4EE7">
        <w:t xml:space="preserve"> at any time by either party.  This document will be reviewed by both parties at least </w:t>
      </w:r>
      <w:r w:rsidRPr="007213FF">
        <w:rPr>
          <w:b/>
        </w:rPr>
        <w:t>[annually</w:t>
      </w:r>
      <w:r w:rsidR="007213FF">
        <w:rPr>
          <w:b/>
        </w:rPr>
        <w:t xml:space="preserve"> or insert other time frame here</w:t>
      </w:r>
      <w:r w:rsidRPr="007213FF">
        <w:rPr>
          <w:b/>
        </w:rPr>
        <w:t>]</w:t>
      </w:r>
      <w:r w:rsidRPr="001D4EE7">
        <w:t>.</w:t>
      </w:r>
    </w:p>
    <w:p w:rsidR="00D46AD6" w:rsidRDefault="00D46AD6" w:rsidP="00A23DDE">
      <w:pPr>
        <w:pStyle w:val="BasicParagraph"/>
        <w:suppressAutoHyphens/>
        <w:ind w:left="270"/>
        <w:rPr>
          <w:rFonts w:asciiTheme="minorHAnsi" w:hAnsiTheme="minorHAnsi" w:cstheme="minorHAnsi"/>
          <w:b/>
          <w:bCs/>
          <w:sz w:val="22"/>
        </w:rPr>
      </w:pPr>
    </w:p>
    <w:p w:rsidR="00966B74" w:rsidRPr="00966B74" w:rsidRDefault="00966B74" w:rsidP="00966B74">
      <w:pPr>
        <w:pStyle w:val="BasicParagraph"/>
        <w:suppressAutoHyphens/>
        <w:rPr>
          <w:rFonts w:asciiTheme="minorHAnsi" w:hAnsiTheme="minorHAnsi" w:cstheme="minorHAnsi"/>
          <w:sz w:val="22"/>
        </w:rPr>
      </w:pPr>
      <w:r w:rsidRPr="00966B74">
        <w:rPr>
          <w:rFonts w:asciiTheme="minorHAnsi" w:hAnsiTheme="minorHAnsi" w:cstheme="minorHAnsi"/>
          <w:b/>
          <w:bCs/>
          <w:sz w:val="22"/>
        </w:rPr>
        <w:t>Signatures of participating physicians:</w:t>
      </w:r>
    </w:p>
    <w:p w:rsidR="00966B74" w:rsidRDefault="009B0E94" w:rsidP="00966B7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agreement is e</w:t>
      </w:r>
      <w:r w:rsidR="00966B74" w:rsidRPr="00966B74">
        <w:rPr>
          <w:rFonts w:asciiTheme="minorHAnsi" w:hAnsiTheme="minorHAnsi" w:cstheme="minorHAnsi"/>
          <w:sz w:val="22"/>
        </w:rPr>
        <w:t xml:space="preserve">ffective date </w:t>
      </w:r>
      <w:r>
        <w:rPr>
          <w:rFonts w:asciiTheme="minorHAnsi" w:hAnsiTheme="minorHAnsi" w:cstheme="minorHAnsi"/>
          <w:sz w:val="22"/>
        </w:rPr>
        <w:t xml:space="preserve">as </w:t>
      </w:r>
      <w:r w:rsidR="00966B74" w:rsidRPr="00966B74">
        <w:rPr>
          <w:rFonts w:asciiTheme="minorHAnsi" w:hAnsiTheme="minorHAnsi" w:cstheme="minorHAnsi"/>
          <w:sz w:val="22"/>
        </w:rPr>
        <w:t>of</w:t>
      </w:r>
      <w:r>
        <w:rPr>
          <w:rFonts w:asciiTheme="minorHAnsi" w:hAnsiTheme="minorHAnsi" w:cstheme="minorHAnsi"/>
          <w:sz w:val="22"/>
        </w:rPr>
        <w:t xml:space="preserve"> the dates set forth below:</w:t>
      </w:r>
    </w:p>
    <w:p w:rsidR="009B0E94" w:rsidRDefault="009B0E94" w:rsidP="00966B7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Physician Name: _________________________________________ State License Number: _____________________</w:t>
      </w:r>
    </w:p>
    <w:p w:rsidR="009B0E94" w:rsidRPr="00966B74" w:rsidRDefault="009B0E94" w:rsidP="00966B7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Physician Signature: ______________________________________  Date Signed: _____________________________</w:t>
      </w:r>
    </w:p>
    <w:p w:rsidR="009B0E94" w:rsidRDefault="009B0E94" w:rsidP="00966B7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</w:p>
    <w:p w:rsidR="009B0E94" w:rsidRDefault="009B0E94" w:rsidP="00966B7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</w:p>
    <w:p w:rsidR="009B0E94" w:rsidRDefault="009B0E94" w:rsidP="009B0E9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Physician Name: _________________________________________ State License Number: _____________________</w:t>
      </w:r>
    </w:p>
    <w:p w:rsidR="009B0E94" w:rsidRPr="00966B74" w:rsidRDefault="009B0E94" w:rsidP="009B0E9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Physician Signature: ______________________________________  Date Signed: _____________________________</w:t>
      </w:r>
    </w:p>
    <w:p w:rsidR="009B0E94" w:rsidRDefault="009B0E94" w:rsidP="00966B7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</w:p>
    <w:p w:rsidR="009B0E94" w:rsidRDefault="009B0E94" w:rsidP="00966B7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</w:p>
    <w:p w:rsidR="009B0E94" w:rsidRDefault="009B0E94" w:rsidP="009B0E9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Physician Name: _________________________________________ State License Number: _____________________</w:t>
      </w:r>
    </w:p>
    <w:p w:rsidR="009B0E94" w:rsidRPr="00966B74" w:rsidRDefault="009B0E94" w:rsidP="009B0E9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Physician Signature: ______________________________________  Date Signed: _____________________________</w:t>
      </w:r>
    </w:p>
    <w:p w:rsidR="009B0E94" w:rsidRDefault="009B0E94" w:rsidP="00966B7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</w:p>
    <w:p w:rsidR="009B0E94" w:rsidRDefault="009B0E94" w:rsidP="00966B7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</w:p>
    <w:p w:rsidR="009B0E94" w:rsidRDefault="009B0E94" w:rsidP="009B0E9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Physician Name: _________________________________________ State License Number: _____________________</w:t>
      </w:r>
    </w:p>
    <w:p w:rsidR="009B0E94" w:rsidRPr="00966B74" w:rsidRDefault="009B0E94" w:rsidP="009B0E94">
      <w:pPr>
        <w:pStyle w:val="BasicParagraph"/>
        <w:suppressAutoHyphens/>
        <w:ind w:left="63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Physician Signature: ______________________________________  Date Signed: _____________________________</w:t>
      </w:r>
    </w:p>
    <w:p w:rsidR="001F65EC" w:rsidRDefault="001F65EC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2E03AB" w:rsidRDefault="002E03AB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2E03AB" w:rsidRDefault="002E03AB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C11E3E" w:rsidRDefault="00966B74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  <w:r w:rsidRPr="00966B74">
        <w:rPr>
          <w:rFonts w:asciiTheme="minorHAnsi" w:hAnsiTheme="minorHAnsi" w:cstheme="minorHAnsi"/>
          <w:b/>
          <w:bCs/>
          <w:sz w:val="22"/>
        </w:rPr>
        <w:t>References</w:t>
      </w:r>
      <w:r w:rsidR="009B0E94">
        <w:rPr>
          <w:rFonts w:asciiTheme="minorHAnsi" w:hAnsiTheme="minorHAnsi" w:cstheme="minorHAnsi"/>
          <w:b/>
          <w:bCs/>
          <w:sz w:val="22"/>
        </w:rPr>
        <w:t>:</w:t>
      </w:r>
    </w:p>
    <w:p w:rsidR="000C5FB0" w:rsidRDefault="000C5FB0" w:rsidP="000C5FB0">
      <w:pPr>
        <w:pStyle w:val="CommentText"/>
        <w:numPr>
          <w:ilvl w:val="0"/>
          <w:numId w:val="3"/>
        </w:numPr>
      </w:pPr>
      <w:r>
        <w:t>Rigazio A, et al</w:t>
      </w:r>
      <w:r w:rsidR="00F653B0">
        <w:t xml:space="preserve">. </w:t>
      </w:r>
      <w:r>
        <w:t>Integration of dose-counters into metered-dose rescue inhalers may reduce incidence of respirator</w:t>
      </w:r>
      <w:r w:rsidR="00F653B0">
        <w:t>y-related emergency room visits.</w:t>
      </w:r>
      <w:r>
        <w:t xml:space="preserve"> </w:t>
      </w:r>
      <w:r w:rsidRPr="00F653B0">
        <w:rPr>
          <w:i/>
        </w:rPr>
        <w:t>ACAAI</w:t>
      </w:r>
      <w:r>
        <w:t xml:space="preserve"> 2013; Abstract 11.</w:t>
      </w:r>
    </w:p>
    <w:p w:rsidR="000C5FB0" w:rsidRDefault="000C5FB0" w:rsidP="000C5FB0">
      <w:pPr>
        <w:pStyle w:val="CommentText"/>
        <w:numPr>
          <w:ilvl w:val="0"/>
          <w:numId w:val="3"/>
        </w:numPr>
      </w:pPr>
      <w:r>
        <w:t xml:space="preserve">Sander N, Fusco-Walkert SJ, Harder JM, Chipps BE. Dose counting and the use of pressurized metered-dose inhalers: running on empty. </w:t>
      </w:r>
      <w:r w:rsidRPr="00F653B0">
        <w:rPr>
          <w:i/>
        </w:rPr>
        <w:t>Ann Allergy Asthma Immunol</w:t>
      </w:r>
      <w:r w:rsidR="00F653B0">
        <w:t xml:space="preserve">. </w:t>
      </w:r>
      <w:r>
        <w:t>2006; 97:34.</w:t>
      </w:r>
    </w:p>
    <w:p w:rsidR="00F653B0" w:rsidRPr="00F653B0" w:rsidRDefault="00F653B0" w:rsidP="00F653B0">
      <w:pPr>
        <w:pStyle w:val="CommentText"/>
        <w:numPr>
          <w:ilvl w:val="0"/>
          <w:numId w:val="3"/>
        </w:numPr>
        <w:suppressAutoHyphens/>
        <w:rPr>
          <w:rFonts w:cstheme="minorHAnsi"/>
          <w:sz w:val="22"/>
        </w:rPr>
      </w:pPr>
      <w:r>
        <w:t xml:space="preserve">Conner JB, Buck, Po. Improving Asthma Management: The case for mandatory inclusion of dose counters on all rescue bronchodilators. </w:t>
      </w:r>
      <w:r w:rsidRPr="00F653B0">
        <w:rPr>
          <w:i/>
        </w:rPr>
        <w:t>Asthma</w:t>
      </w:r>
      <w:r>
        <w:t xml:space="preserve">. 2013; 50(6): 658–663.  </w:t>
      </w:r>
    </w:p>
    <w:p w:rsidR="00F653B0" w:rsidRPr="00F653B0" w:rsidRDefault="00F653B0" w:rsidP="00F653B0">
      <w:pPr>
        <w:pStyle w:val="CommentText"/>
        <w:suppressAutoHyphens/>
        <w:ind w:left="720"/>
        <w:rPr>
          <w:rFonts w:cstheme="minorHAnsi"/>
          <w:sz w:val="22"/>
        </w:rPr>
      </w:pPr>
    </w:p>
    <w:p w:rsidR="001F65EC" w:rsidRDefault="002E03AB" w:rsidP="001F65EC">
      <w:pPr>
        <w:pStyle w:val="Heading1"/>
      </w:pPr>
      <w:r>
        <w:lastRenderedPageBreak/>
        <w:t>A</w:t>
      </w:r>
      <w:r w:rsidR="001F65EC">
        <w:t>ppendix A:</w:t>
      </w:r>
    </w:p>
    <w:p w:rsidR="001F65EC" w:rsidRDefault="001F65EC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A7054F" w:rsidRDefault="00A7054F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1F65EC" w:rsidRDefault="001F65EC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A7054F" w:rsidRDefault="001F65EC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[Date]</w:t>
      </w:r>
    </w:p>
    <w:p w:rsidR="001F65EC" w:rsidRDefault="001F65EC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1F65EC" w:rsidRDefault="001F65EC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A7054F" w:rsidRDefault="00A7054F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7E7456" w:rsidRPr="001F65EC" w:rsidRDefault="007E7456" w:rsidP="007E7456">
      <w:pPr>
        <w:rPr>
          <w:b/>
          <w:sz w:val="24"/>
          <w:szCs w:val="24"/>
        </w:rPr>
      </w:pPr>
      <w:r>
        <w:rPr>
          <w:sz w:val="24"/>
          <w:szCs w:val="24"/>
        </w:rPr>
        <w:t>Dear Dr.</w:t>
      </w:r>
      <w:r w:rsidR="001F65EC">
        <w:rPr>
          <w:sz w:val="24"/>
          <w:szCs w:val="24"/>
        </w:rPr>
        <w:t xml:space="preserve"> </w:t>
      </w:r>
      <w:r w:rsidR="001F65EC" w:rsidRPr="001F65EC">
        <w:rPr>
          <w:b/>
          <w:sz w:val="24"/>
          <w:szCs w:val="24"/>
        </w:rPr>
        <w:t>[Insert Name]</w:t>
      </w:r>
      <w:r w:rsidRPr="001F65EC">
        <w:rPr>
          <w:b/>
          <w:sz w:val="24"/>
          <w:szCs w:val="24"/>
        </w:rPr>
        <w:t xml:space="preserve"> </w:t>
      </w:r>
    </w:p>
    <w:p w:rsidR="007E7456" w:rsidRDefault="007E7456" w:rsidP="007E7456">
      <w:pPr>
        <w:rPr>
          <w:sz w:val="24"/>
          <w:szCs w:val="24"/>
        </w:rPr>
      </w:pPr>
    </w:p>
    <w:p w:rsidR="001F65EC" w:rsidRDefault="007E7456" w:rsidP="007E745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This</w:t>
      </w:r>
      <w:r w:rsidR="001F65EC">
        <w:rPr>
          <w:sz w:val="24"/>
          <w:szCs w:val="24"/>
        </w:rPr>
        <w:t xml:space="preserve"> notification is to inform you </w:t>
      </w:r>
      <w:r>
        <w:rPr>
          <w:sz w:val="24"/>
          <w:szCs w:val="24"/>
        </w:rPr>
        <w:t xml:space="preserve">that </w:t>
      </w:r>
      <w:r w:rsidR="001F65EC" w:rsidRPr="001F65EC">
        <w:rPr>
          <w:b/>
          <w:sz w:val="24"/>
          <w:szCs w:val="24"/>
        </w:rPr>
        <w:t xml:space="preserve">[Insert name of SABA dispensed to patient] </w:t>
      </w:r>
      <w:r>
        <w:rPr>
          <w:sz w:val="24"/>
          <w:szCs w:val="24"/>
        </w:rPr>
        <w:t xml:space="preserve">was substituted for the prescribed medication </w:t>
      </w:r>
      <w:r w:rsidR="001F65EC" w:rsidRPr="001F65EC">
        <w:rPr>
          <w:b/>
          <w:sz w:val="24"/>
          <w:szCs w:val="24"/>
        </w:rPr>
        <w:t xml:space="preserve">[Insert name of SABA </w:t>
      </w:r>
      <w:r w:rsidR="001F65EC">
        <w:rPr>
          <w:b/>
          <w:sz w:val="24"/>
          <w:szCs w:val="24"/>
        </w:rPr>
        <w:t xml:space="preserve">originally prescribed for </w:t>
      </w:r>
      <w:r w:rsidR="001F65EC" w:rsidRPr="001F65EC">
        <w:rPr>
          <w:b/>
          <w:sz w:val="24"/>
          <w:szCs w:val="24"/>
        </w:rPr>
        <w:t>patient]</w:t>
      </w:r>
      <w:r w:rsidR="001F65E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for our mutual patient</w:t>
      </w:r>
      <w:r w:rsidR="001F65EC">
        <w:rPr>
          <w:sz w:val="24"/>
          <w:szCs w:val="24"/>
        </w:rPr>
        <w:t xml:space="preserve"> </w:t>
      </w:r>
      <w:r w:rsidR="001F65EC" w:rsidRPr="001F65EC">
        <w:rPr>
          <w:b/>
          <w:sz w:val="24"/>
          <w:szCs w:val="24"/>
        </w:rPr>
        <w:t xml:space="preserve">[Insert </w:t>
      </w:r>
      <w:r w:rsidR="001F65EC">
        <w:rPr>
          <w:b/>
          <w:sz w:val="24"/>
          <w:szCs w:val="24"/>
        </w:rPr>
        <w:t>patient name and DOB</w:t>
      </w:r>
      <w:r w:rsidR="001F65EC" w:rsidRPr="001F65EC">
        <w:rPr>
          <w:b/>
          <w:sz w:val="24"/>
          <w:szCs w:val="24"/>
        </w:rPr>
        <w:t>]</w:t>
      </w:r>
      <w:r w:rsidR="001F65EC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1F65EC">
        <w:rPr>
          <w:sz w:val="24"/>
          <w:szCs w:val="24"/>
        </w:rPr>
        <w:t xml:space="preserve"> specified in</w:t>
      </w:r>
      <w:r>
        <w:rPr>
          <w:sz w:val="24"/>
          <w:szCs w:val="24"/>
        </w:rPr>
        <w:t xml:space="preserve"> our </w:t>
      </w:r>
      <w:r w:rsidR="001F65EC">
        <w:rPr>
          <w:sz w:val="24"/>
          <w:szCs w:val="24"/>
        </w:rPr>
        <w:t>SABA Therapeutic Interchange Collaborative Practice A</w:t>
      </w:r>
      <w:r>
        <w:rPr>
          <w:sz w:val="24"/>
          <w:szCs w:val="24"/>
        </w:rPr>
        <w:t xml:space="preserve">greement.  </w:t>
      </w:r>
    </w:p>
    <w:p w:rsidR="001F65EC" w:rsidRDefault="007E7456" w:rsidP="007E745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This substitution was the result of a: </w:t>
      </w:r>
    </w:p>
    <w:p w:rsidR="001F65EC" w:rsidRPr="001F65EC" w:rsidRDefault="001F65EC" w:rsidP="001F65EC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Cost savings opportunity</w:t>
      </w:r>
      <w:r w:rsidRPr="001F65EC">
        <w:rPr>
          <w:sz w:val="24"/>
          <w:szCs w:val="24"/>
        </w:rPr>
        <w:t xml:space="preserve">  </w:t>
      </w:r>
    </w:p>
    <w:p w:rsidR="001F65EC" w:rsidRDefault="001F65EC" w:rsidP="001F65EC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Insurance f</w:t>
      </w:r>
      <w:r w:rsidR="007E7456" w:rsidRPr="001F65EC">
        <w:rPr>
          <w:sz w:val="24"/>
          <w:szCs w:val="24"/>
        </w:rPr>
        <w:t>ormulary conflict</w:t>
      </w:r>
    </w:p>
    <w:p w:rsidR="001F65EC" w:rsidRPr="001F65EC" w:rsidRDefault="001F65EC" w:rsidP="001F65E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Please feel free to contact us if you have any questions or concerns.</w:t>
      </w:r>
    </w:p>
    <w:p w:rsidR="007E7456" w:rsidRDefault="007E7456" w:rsidP="007E7456">
      <w:pP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>Respect</w:t>
      </w:r>
      <w:r w:rsidR="001F65EC">
        <w:rPr>
          <w:sz w:val="24"/>
          <w:szCs w:val="24"/>
        </w:rPr>
        <w:t>f</w:t>
      </w:r>
      <w:r>
        <w:rPr>
          <w:sz w:val="24"/>
          <w:szCs w:val="24"/>
        </w:rPr>
        <w:t>ully,</w:t>
      </w:r>
    </w:p>
    <w:p w:rsidR="007E7456" w:rsidRDefault="007E7456" w:rsidP="007E7456">
      <w:pPr>
        <w:tabs>
          <w:tab w:val="left" w:pos="6330"/>
        </w:tabs>
        <w:rPr>
          <w:sz w:val="24"/>
          <w:szCs w:val="24"/>
        </w:rPr>
      </w:pPr>
    </w:p>
    <w:p w:rsidR="002F2924" w:rsidRDefault="001F65EC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[Name of pharmacist(s)]</w:t>
      </w:r>
    </w:p>
    <w:p w:rsidR="001F65EC" w:rsidRDefault="001F65EC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[Name/Contact Info of Pharmacy]</w:t>
      </w:r>
    </w:p>
    <w:p w:rsidR="002F2924" w:rsidRDefault="002F2924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2F2924" w:rsidRDefault="002F2924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2F2924" w:rsidRDefault="002F2924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2F2924" w:rsidRDefault="002F2924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2F2924" w:rsidRDefault="002F2924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p w:rsidR="00A7054F" w:rsidRDefault="00A7054F" w:rsidP="00966B74">
      <w:pPr>
        <w:pStyle w:val="BasicParagraph"/>
        <w:suppressAutoHyphens/>
        <w:rPr>
          <w:rFonts w:asciiTheme="minorHAnsi" w:hAnsiTheme="minorHAnsi" w:cstheme="minorHAnsi"/>
          <w:b/>
          <w:bCs/>
          <w:sz w:val="22"/>
        </w:rPr>
      </w:pPr>
    </w:p>
    <w:sectPr w:rsidR="00A7054F" w:rsidSect="00956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1D" w:rsidRDefault="0074411D" w:rsidP="00D04806">
      <w:pPr>
        <w:spacing w:after="0" w:line="240" w:lineRule="auto"/>
      </w:pPr>
      <w:r>
        <w:separator/>
      </w:r>
    </w:p>
  </w:endnote>
  <w:endnote w:type="continuationSeparator" w:id="0">
    <w:p w:rsidR="0074411D" w:rsidRDefault="0074411D" w:rsidP="00D0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9D" w:rsidRDefault="00387C9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4450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F439F" w:rsidRDefault="004F439F">
            <w:pPr>
              <w:pStyle w:val="Footer"/>
              <w:jc w:val="right"/>
            </w:pPr>
            <w:r>
              <w:t xml:space="preserve">CPA: </w:t>
            </w:r>
            <w:r w:rsidR="001F65EC">
              <w:t>Therapeutic Interchange SABA</w:t>
            </w:r>
            <w:r>
              <w:tab/>
              <w:t xml:space="preserve">                           [DATE OF REVISION]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E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E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439F" w:rsidRDefault="004F43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9D" w:rsidRDefault="00387C9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1D" w:rsidRDefault="0074411D" w:rsidP="00D04806">
      <w:pPr>
        <w:spacing w:after="0" w:line="240" w:lineRule="auto"/>
      </w:pPr>
      <w:r>
        <w:separator/>
      </w:r>
    </w:p>
  </w:footnote>
  <w:footnote w:type="continuationSeparator" w:id="0">
    <w:p w:rsidR="0074411D" w:rsidRDefault="0074411D" w:rsidP="00D0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9D" w:rsidRDefault="00387C9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9D" w:rsidRDefault="00387C9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9D" w:rsidRDefault="00387C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518"/>
    <w:multiLevelType w:val="hybridMultilevel"/>
    <w:tmpl w:val="C8E8E5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C40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16F8D"/>
    <w:multiLevelType w:val="hybridMultilevel"/>
    <w:tmpl w:val="9E709682"/>
    <w:lvl w:ilvl="0" w:tplc="0CE86D24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5A047C5"/>
    <w:multiLevelType w:val="hybridMultilevel"/>
    <w:tmpl w:val="FD728E68"/>
    <w:lvl w:ilvl="0" w:tplc="2AC05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0E4"/>
    <w:multiLevelType w:val="hybridMultilevel"/>
    <w:tmpl w:val="D674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E7E95"/>
    <w:multiLevelType w:val="hybridMultilevel"/>
    <w:tmpl w:val="E686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87811"/>
    <w:multiLevelType w:val="hybridMultilevel"/>
    <w:tmpl w:val="F8AEF05C"/>
    <w:lvl w:ilvl="0" w:tplc="05A25F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F825EAA-044A-4C11-B8CF-A7EE06558007}"/>
    <w:docVar w:name="dgnword-eventsink" w:val="109968800"/>
  </w:docVars>
  <w:rsids>
    <w:rsidRoot w:val="00966B74"/>
    <w:rsid w:val="000424D7"/>
    <w:rsid w:val="000702E0"/>
    <w:rsid w:val="00085CF9"/>
    <w:rsid w:val="000A5DAA"/>
    <w:rsid w:val="000C5FB0"/>
    <w:rsid w:val="000E6C36"/>
    <w:rsid w:val="000F0366"/>
    <w:rsid w:val="0015563F"/>
    <w:rsid w:val="00171F18"/>
    <w:rsid w:val="0019047D"/>
    <w:rsid w:val="001B7D8A"/>
    <w:rsid w:val="001C34FB"/>
    <w:rsid w:val="001C4BA6"/>
    <w:rsid w:val="001E19C7"/>
    <w:rsid w:val="001E6A25"/>
    <w:rsid w:val="001F65EC"/>
    <w:rsid w:val="00261065"/>
    <w:rsid w:val="00270E9A"/>
    <w:rsid w:val="00272A04"/>
    <w:rsid w:val="00287A07"/>
    <w:rsid w:val="002E03AB"/>
    <w:rsid w:val="002E0EC9"/>
    <w:rsid w:val="002F2924"/>
    <w:rsid w:val="003224CA"/>
    <w:rsid w:val="00375CEF"/>
    <w:rsid w:val="0038176D"/>
    <w:rsid w:val="00387C9D"/>
    <w:rsid w:val="004207A2"/>
    <w:rsid w:val="00457504"/>
    <w:rsid w:val="004615B6"/>
    <w:rsid w:val="004F439F"/>
    <w:rsid w:val="00560833"/>
    <w:rsid w:val="006903CB"/>
    <w:rsid w:val="006C00C6"/>
    <w:rsid w:val="006D13A5"/>
    <w:rsid w:val="00700E3C"/>
    <w:rsid w:val="00705F16"/>
    <w:rsid w:val="007213FF"/>
    <w:rsid w:val="007406A0"/>
    <w:rsid w:val="0074411D"/>
    <w:rsid w:val="00752970"/>
    <w:rsid w:val="00772D69"/>
    <w:rsid w:val="00776049"/>
    <w:rsid w:val="00776FF5"/>
    <w:rsid w:val="0079019E"/>
    <w:rsid w:val="00794E68"/>
    <w:rsid w:val="007C0EF5"/>
    <w:rsid w:val="007E7456"/>
    <w:rsid w:val="007F377C"/>
    <w:rsid w:val="00816534"/>
    <w:rsid w:val="00887469"/>
    <w:rsid w:val="008A0E42"/>
    <w:rsid w:val="008F1E1A"/>
    <w:rsid w:val="0090717B"/>
    <w:rsid w:val="0093300A"/>
    <w:rsid w:val="00956C36"/>
    <w:rsid w:val="00966B74"/>
    <w:rsid w:val="00996E7C"/>
    <w:rsid w:val="009A279C"/>
    <w:rsid w:val="009B0E94"/>
    <w:rsid w:val="00A23DDE"/>
    <w:rsid w:val="00A7054F"/>
    <w:rsid w:val="00A75057"/>
    <w:rsid w:val="00A853A2"/>
    <w:rsid w:val="00A96A78"/>
    <w:rsid w:val="00AC77CE"/>
    <w:rsid w:val="00AD2C4B"/>
    <w:rsid w:val="00AF2B75"/>
    <w:rsid w:val="00B0070C"/>
    <w:rsid w:val="00B164CD"/>
    <w:rsid w:val="00B532A9"/>
    <w:rsid w:val="00B53E0E"/>
    <w:rsid w:val="00B83237"/>
    <w:rsid w:val="00BC03A6"/>
    <w:rsid w:val="00BF30AD"/>
    <w:rsid w:val="00C11E3E"/>
    <w:rsid w:val="00C1469D"/>
    <w:rsid w:val="00C152B5"/>
    <w:rsid w:val="00CE0EF4"/>
    <w:rsid w:val="00D04806"/>
    <w:rsid w:val="00D14648"/>
    <w:rsid w:val="00D46AD6"/>
    <w:rsid w:val="00D971BC"/>
    <w:rsid w:val="00DB3BDD"/>
    <w:rsid w:val="00DC0855"/>
    <w:rsid w:val="00DC2013"/>
    <w:rsid w:val="00DE49A6"/>
    <w:rsid w:val="00E63071"/>
    <w:rsid w:val="00E938D6"/>
    <w:rsid w:val="00F057B4"/>
    <w:rsid w:val="00F53D50"/>
    <w:rsid w:val="00F570DA"/>
    <w:rsid w:val="00F653B0"/>
    <w:rsid w:val="00FB2F85"/>
    <w:rsid w:val="00FB588C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66B7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qsnumsectnum">
    <w:name w:val="qs_num_sectnum_"/>
    <w:uiPriority w:val="99"/>
    <w:rsid w:val="007F377C"/>
    <w:rPr>
      <w:rFonts w:ascii="Times New Roman" w:hAnsi="Times New Roman" w:cs="Times New Roman"/>
    </w:rPr>
  </w:style>
  <w:style w:type="character" w:customStyle="1" w:styleId="qstitlesection">
    <w:name w:val="qs_title_section_"/>
    <w:uiPriority w:val="99"/>
    <w:rsid w:val="007F377C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7F377C"/>
    <w:rPr>
      <w:rFonts w:ascii="Times New Roman" w:hAnsi="Times New Roman" w:cs="Times New Roman"/>
    </w:rPr>
  </w:style>
  <w:style w:type="character" w:customStyle="1" w:styleId="qsrefstatnuma">
    <w:name w:val="qs_ref_statnuma_"/>
    <w:uiPriority w:val="99"/>
    <w:rsid w:val="007F377C"/>
    <w:rPr>
      <w:rFonts w:ascii="Times New Roman" w:hAnsi="Times New Roman" w:cs="Times New Roman"/>
    </w:rPr>
  </w:style>
  <w:style w:type="character" w:styleId="Hyperlink">
    <w:name w:val="Hyperlink"/>
    <w:uiPriority w:val="99"/>
    <w:rsid w:val="007F377C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F377C"/>
    <w:pPr>
      <w:autoSpaceDE w:val="0"/>
      <w:autoSpaceDN w:val="0"/>
      <w:adjustRightInd w:val="0"/>
      <w:spacing w:after="0" w:line="240" w:lineRule="auto"/>
      <w:ind w:right="713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7F377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806"/>
  </w:style>
  <w:style w:type="paragraph" w:styleId="Footer">
    <w:name w:val="footer"/>
    <w:basedOn w:val="Normal"/>
    <w:link w:val="FooterChar"/>
    <w:uiPriority w:val="99"/>
    <w:unhideWhenUsed/>
    <w:rsid w:val="00D0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806"/>
  </w:style>
  <w:style w:type="paragraph" w:styleId="ListParagraph">
    <w:name w:val="List Paragraph"/>
    <w:basedOn w:val="Normal"/>
    <w:uiPriority w:val="34"/>
    <w:qFormat/>
    <w:rsid w:val="00887469"/>
    <w:pPr>
      <w:ind w:left="720"/>
      <w:contextualSpacing/>
    </w:pPr>
  </w:style>
  <w:style w:type="table" w:styleId="TableGrid">
    <w:name w:val="Table Grid"/>
    <w:basedOn w:val="TableNormal"/>
    <w:uiPriority w:val="59"/>
    <w:rsid w:val="006C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F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66B7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qsnumsectnum">
    <w:name w:val="qs_num_sectnum_"/>
    <w:uiPriority w:val="99"/>
    <w:rsid w:val="007F377C"/>
    <w:rPr>
      <w:rFonts w:ascii="Times New Roman" w:hAnsi="Times New Roman" w:cs="Times New Roman"/>
    </w:rPr>
  </w:style>
  <w:style w:type="character" w:customStyle="1" w:styleId="qstitlesection">
    <w:name w:val="qs_title_section_"/>
    <w:uiPriority w:val="99"/>
    <w:rsid w:val="007F377C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7F377C"/>
    <w:rPr>
      <w:rFonts w:ascii="Times New Roman" w:hAnsi="Times New Roman" w:cs="Times New Roman"/>
    </w:rPr>
  </w:style>
  <w:style w:type="character" w:customStyle="1" w:styleId="qsrefstatnuma">
    <w:name w:val="qs_ref_statnuma_"/>
    <w:uiPriority w:val="99"/>
    <w:rsid w:val="007F377C"/>
    <w:rPr>
      <w:rFonts w:ascii="Times New Roman" w:hAnsi="Times New Roman" w:cs="Times New Roman"/>
    </w:rPr>
  </w:style>
  <w:style w:type="character" w:styleId="Hyperlink">
    <w:name w:val="Hyperlink"/>
    <w:uiPriority w:val="99"/>
    <w:rsid w:val="007F377C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F377C"/>
    <w:pPr>
      <w:autoSpaceDE w:val="0"/>
      <w:autoSpaceDN w:val="0"/>
      <w:adjustRightInd w:val="0"/>
      <w:spacing w:after="0" w:line="240" w:lineRule="auto"/>
      <w:ind w:right="713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7F377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806"/>
  </w:style>
  <w:style w:type="paragraph" w:styleId="Footer">
    <w:name w:val="footer"/>
    <w:basedOn w:val="Normal"/>
    <w:link w:val="FooterChar"/>
    <w:uiPriority w:val="99"/>
    <w:unhideWhenUsed/>
    <w:rsid w:val="00D0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806"/>
  </w:style>
  <w:style w:type="paragraph" w:styleId="ListParagraph">
    <w:name w:val="List Paragraph"/>
    <w:basedOn w:val="Normal"/>
    <w:uiPriority w:val="34"/>
    <w:qFormat/>
    <w:rsid w:val="00887469"/>
    <w:pPr>
      <w:ind w:left="720"/>
      <w:contextualSpacing/>
    </w:pPr>
  </w:style>
  <w:style w:type="table" w:styleId="TableGrid">
    <w:name w:val="Table Grid"/>
    <w:basedOn w:val="TableNormal"/>
    <w:uiPriority w:val="59"/>
    <w:rsid w:val="006C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F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4771</Characters>
  <Application>Microsoft Macintosh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Grant</dc:creator>
  <cp:lastModifiedBy>Megan Grant</cp:lastModifiedBy>
  <cp:revision>2</cp:revision>
  <dcterms:created xsi:type="dcterms:W3CDTF">2015-09-21T16:33:00Z</dcterms:created>
  <dcterms:modified xsi:type="dcterms:W3CDTF">2015-09-21T16:33:00Z</dcterms:modified>
</cp:coreProperties>
</file>